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BB517" w14:textId="6B35F2A7" w:rsidR="00F227AF" w:rsidRPr="006D006B" w:rsidRDefault="00A2475D">
      <w:pPr>
        <w:pStyle w:val="Title"/>
        <w:tabs>
          <w:tab w:val="left" w:pos="5850"/>
        </w:tabs>
        <w:rPr>
          <w:szCs w:val="24"/>
        </w:rPr>
      </w:pPr>
      <w:r w:rsidRPr="006D006B">
        <w:rPr>
          <w:szCs w:val="24"/>
        </w:rPr>
        <w:t>LISTEN.MD,</w:t>
      </w:r>
      <w:r w:rsidR="00647F3B" w:rsidRPr="006D006B">
        <w:rPr>
          <w:szCs w:val="24"/>
        </w:rPr>
        <w:t xml:space="preserve"> INC.</w:t>
      </w:r>
      <w:r w:rsidR="008178C2" w:rsidRPr="006D006B">
        <w:rPr>
          <w:szCs w:val="24"/>
        </w:rPr>
        <w:br/>
      </w:r>
      <w:r w:rsidR="008178C2" w:rsidRPr="006D006B">
        <w:rPr>
          <w:szCs w:val="24"/>
        </w:rPr>
        <w:br/>
        <w:t xml:space="preserve">SUMMARY OF PROPOSED TERMS FOR </w:t>
      </w:r>
      <w:r w:rsidR="008178C2" w:rsidRPr="006D006B">
        <w:rPr>
          <w:szCs w:val="24"/>
        </w:rPr>
        <w:br/>
        <w:t>CONVERTIBLE PROMISSORY NOTE FINANCING</w:t>
      </w:r>
    </w:p>
    <w:p w14:paraId="1E3ED9B9" w14:textId="28C8FC3A" w:rsidR="00F227AF" w:rsidRPr="006D006B" w:rsidRDefault="008178C2">
      <w:pPr>
        <w:pStyle w:val="BodyText"/>
      </w:pPr>
      <w:r w:rsidRPr="006D006B">
        <w:t>The following is a summary of the basic terms and conditions of a proposed convertib</w:t>
      </w:r>
      <w:r w:rsidR="00647F3B" w:rsidRPr="006D006B">
        <w:t xml:space="preserve">le promissory note financing of </w:t>
      </w:r>
      <w:r w:rsidR="00A2475D" w:rsidRPr="006D006B">
        <w:t>Listen.</w:t>
      </w:r>
      <w:r w:rsidR="00CC4E76" w:rsidRPr="006D006B">
        <w:t>MD</w:t>
      </w:r>
      <w:r w:rsidR="00A2475D" w:rsidRPr="006D006B">
        <w:t>,</w:t>
      </w:r>
      <w:r w:rsidR="00647F3B" w:rsidRPr="006D006B">
        <w:t xml:space="preserve"> Inc.</w:t>
      </w:r>
      <w:r w:rsidRPr="006D006B">
        <w:t xml:space="preserve">, a </w:t>
      </w:r>
      <w:r w:rsidR="00A2475D" w:rsidRPr="006D006B">
        <w:t xml:space="preserve">Delaware </w:t>
      </w:r>
      <w:r w:rsidRPr="006D006B">
        <w:t>corporation (the “</w:t>
      </w:r>
      <w:r w:rsidRPr="006D006B">
        <w:rPr>
          <w:b/>
          <w:i/>
        </w:rPr>
        <w:t>Company</w:t>
      </w:r>
      <w:r w:rsidRPr="006D006B">
        <w:t xml:space="preserve">”).  This term sheet is for discussion purposes only and is not binding on </w:t>
      </w:r>
      <w:r w:rsidR="006D006B" w:rsidRPr="006D006B">
        <w:t xml:space="preserve">the </w:t>
      </w:r>
      <w:r w:rsidRPr="006D006B">
        <w:t xml:space="preserve">Company or the Investors (as defined below), nor is </w:t>
      </w:r>
      <w:r w:rsidR="006D006B" w:rsidRPr="006D006B">
        <w:t xml:space="preserve">the </w:t>
      </w:r>
      <w:r w:rsidRPr="006D006B">
        <w:t xml:space="preserve">Company or any of the Investors obligated to consummate the convertible promissory note financing until a definitive convertible note purchase agreement has been agreed to and executed by </w:t>
      </w:r>
      <w:r w:rsidR="006D006B" w:rsidRPr="006D006B">
        <w:t xml:space="preserve">the </w:t>
      </w:r>
      <w:r w:rsidRPr="006D006B">
        <w:t xml:space="preserve">Company and the Investors. </w:t>
      </w:r>
    </w:p>
    <w:tbl>
      <w:tblPr>
        <w:tblW w:w="0" w:type="auto"/>
        <w:tblLayout w:type="fixed"/>
        <w:tblLook w:val="0000" w:firstRow="0" w:lastRow="0" w:firstColumn="0" w:lastColumn="0" w:noHBand="0" w:noVBand="0"/>
      </w:tblPr>
      <w:tblGrid>
        <w:gridCol w:w="3348"/>
        <w:gridCol w:w="6120"/>
      </w:tblGrid>
      <w:tr w:rsidR="00F227AF" w:rsidRPr="006D006B" w14:paraId="0E22526E" w14:textId="77777777">
        <w:tc>
          <w:tcPr>
            <w:tcW w:w="3348" w:type="dxa"/>
          </w:tcPr>
          <w:p w14:paraId="6C3341AE" w14:textId="77777777" w:rsidR="00F227AF" w:rsidRPr="006D006B" w:rsidRDefault="008178C2">
            <w:pPr>
              <w:spacing w:after="240"/>
              <w:rPr>
                <w:b/>
                <w:i/>
                <w:szCs w:val="24"/>
              </w:rPr>
            </w:pPr>
            <w:r w:rsidRPr="006D006B">
              <w:rPr>
                <w:b/>
                <w:i/>
                <w:szCs w:val="24"/>
              </w:rPr>
              <w:t>Financing Amount:</w:t>
            </w:r>
          </w:p>
        </w:tc>
        <w:tc>
          <w:tcPr>
            <w:tcW w:w="6120" w:type="dxa"/>
          </w:tcPr>
          <w:p w14:paraId="056BA840" w14:textId="19B19FA3" w:rsidR="00F227AF" w:rsidRPr="006D006B" w:rsidRDefault="008178C2" w:rsidP="00C9225D">
            <w:pPr>
              <w:spacing w:after="240"/>
              <w:jc w:val="both"/>
              <w:rPr>
                <w:szCs w:val="24"/>
              </w:rPr>
            </w:pPr>
            <w:r w:rsidRPr="006D006B">
              <w:rPr>
                <w:szCs w:val="24"/>
              </w:rPr>
              <w:t>Up to $</w:t>
            </w:r>
            <w:r w:rsidR="002072FC">
              <w:rPr>
                <w:szCs w:val="24"/>
              </w:rPr>
              <w:t>50</w:t>
            </w:r>
            <w:bookmarkStart w:id="0" w:name="_GoBack"/>
            <w:bookmarkEnd w:id="0"/>
            <w:r w:rsidR="00647F3B" w:rsidRPr="006D006B">
              <w:rPr>
                <w:szCs w:val="24"/>
              </w:rPr>
              <w:t>0,000</w:t>
            </w:r>
            <w:r w:rsidRPr="006D006B">
              <w:rPr>
                <w:b/>
                <w:szCs w:val="24"/>
              </w:rPr>
              <w:t xml:space="preserve"> </w:t>
            </w:r>
            <w:r w:rsidRPr="006D006B">
              <w:rPr>
                <w:szCs w:val="24"/>
              </w:rPr>
              <w:t>in aggregate principal amount of convertible promissory notes (the “</w:t>
            </w:r>
            <w:r w:rsidRPr="006D006B">
              <w:rPr>
                <w:b/>
                <w:i/>
                <w:szCs w:val="24"/>
              </w:rPr>
              <w:t>Notes</w:t>
            </w:r>
            <w:r w:rsidRPr="006D006B">
              <w:rPr>
                <w:szCs w:val="24"/>
              </w:rPr>
              <w:t xml:space="preserve">”).  </w:t>
            </w:r>
          </w:p>
        </w:tc>
      </w:tr>
      <w:tr w:rsidR="00F227AF" w:rsidRPr="006D006B" w14:paraId="4796E86C" w14:textId="77777777">
        <w:trPr>
          <w:cantSplit/>
        </w:trPr>
        <w:tc>
          <w:tcPr>
            <w:tcW w:w="3348" w:type="dxa"/>
          </w:tcPr>
          <w:p w14:paraId="55C0FBC2" w14:textId="77777777" w:rsidR="00F227AF" w:rsidRPr="006D006B" w:rsidRDefault="008178C2">
            <w:pPr>
              <w:spacing w:after="240"/>
              <w:rPr>
                <w:b/>
                <w:i/>
                <w:szCs w:val="24"/>
              </w:rPr>
            </w:pPr>
            <w:r w:rsidRPr="006D006B">
              <w:rPr>
                <w:b/>
                <w:i/>
                <w:szCs w:val="24"/>
              </w:rPr>
              <w:t>Closings:</w:t>
            </w:r>
          </w:p>
        </w:tc>
        <w:tc>
          <w:tcPr>
            <w:tcW w:w="6120" w:type="dxa"/>
          </w:tcPr>
          <w:p w14:paraId="67872B59" w14:textId="77777777" w:rsidR="00F227AF" w:rsidRPr="006D006B" w:rsidRDefault="008178C2">
            <w:pPr>
              <w:spacing w:after="240"/>
              <w:jc w:val="both"/>
              <w:rPr>
                <w:szCs w:val="24"/>
              </w:rPr>
            </w:pPr>
            <w:r w:rsidRPr="006D006B">
              <w:rPr>
                <w:szCs w:val="24"/>
              </w:rPr>
              <w:t>The Company may close the sale of the Notes in one or more closings with one or more purchasers of the Notes acceptable to the Company (the “</w:t>
            </w:r>
            <w:r w:rsidRPr="006D006B">
              <w:rPr>
                <w:b/>
                <w:i/>
                <w:szCs w:val="24"/>
              </w:rPr>
              <w:t>Investors</w:t>
            </w:r>
            <w:r w:rsidRPr="006D006B">
              <w:rPr>
                <w:szCs w:val="24"/>
              </w:rPr>
              <w:t>”).</w:t>
            </w:r>
          </w:p>
        </w:tc>
      </w:tr>
      <w:tr w:rsidR="00F227AF" w:rsidRPr="006D006B" w14:paraId="36B33BCB" w14:textId="77777777">
        <w:trPr>
          <w:cantSplit/>
        </w:trPr>
        <w:tc>
          <w:tcPr>
            <w:tcW w:w="3348" w:type="dxa"/>
          </w:tcPr>
          <w:p w14:paraId="035F5114" w14:textId="77777777" w:rsidR="00F227AF" w:rsidRPr="006D006B" w:rsidRDefault="008178C2">
            <w:pPr>
              <w:spacing w:after="240"/>
              <w:rPr>
                <w:b/>
                <w:i/>
                <w:szCs w:val="24"/>
              </w:rPr>
            </w:pPr>
            <w:r w:rsidRPr="006D006B">
              <w:rPr>
                <w:b/>
                <w:i/>
                <w:szCs w:val="24"/>
              </w:rPr>
              <w:t>Definitive Agreement:</w:t>
            </w:r>
          </w:p>
        </w:tc>
        <w:tc>
          <w:tcPr>
            <w:tcW w:w="6120" w:type="dxa"/>
          </w:tcPr>
          <w:p w14:paraId="7AB61792" w14:textId="77777777" w:rsidR="00F227AF" w:rsidRPr="006D006B" w:rsidRDefault="008178C2">
            <w:pPr>
              <w:spacing w:after="240"/>
              <w:jc w:val="both"/>
              <w:rPr>
                <w:szCs w:val="24"/>
              </w:rPr>
            </w:pPr>
            <w:r w:rsidRPr="006D006B">
              <w:rPr>
                <w:szCs w:val="24"/>
              </w:rPr>
              <w:t>The Notes will be issued and sold pursuant to a convertible note purchase agreement prepared by the Company’s legal counsel and will contain customary representations and warranties of the Company and the Investors (the “</w:t>
            </w:r>
            <w:r w:rsidRPr="006D006B">
              <w:rPr>
                <w:b/>
                <w:i/>
                <w:szCs w:val="24"/>
              </w:rPr>
              <w:t>Note Purchase Agreement</w:t>
            </w:r>
            <w:r w:rsidRPr="006D006B">
              <w:rPr>
                <w:szCs w:val="24"/>
              </w:rPr>
              <w:t>”).</w:t>
            </w:r>
          </w:p>
        </w:tc>
      </w:tr>
      <w:tr w:rsidR="00F227AF" w:rsidRPr="006D006B" w14:paraId="5854617C" w14:textId="77777777">
        <w:trPr>
          <w:trHeight w:val="1152"/>
        </w:trPr>
        <w:tc>
          <w:tcPr>
            <w:tcW w:w="3348" w:type="dxa"/>
          </w:tcPr>
          <w:p w14:paraId="1509A90D" w14:textId="77777777" w:rsidR="00F227AF" w:rsidRPr="006D006B" w:rsidRDefault="008178C2">
            <w:pPr>
              <w:spacing w:after="240"/>
              <w:rPr>
                <w:b/>
                <w:i/>
                <w:szCs w:val="24"/>
              </w:rPr>
            </w:pPr>
            <w:r w:rsidRPr="006D006B">
              <w:rPr>
                <w:b/>
                <w:i/>
                <w:szCs w:val="24"/>
              </w:rPr>
              <w:t>Maturity Date:</w:t>
            </w:r>
          </w:p>
        </w:tc>
        <w:tc>
          <w:tcPr>
            <w:tcW w:w="6120" w:type="dxa"/>
          </w:tcPr>
          <w:p w14:paraId="2EA70415" w14:textId="6F2E9B12" w:rsidR="00F227AF" w:rsidRPr="006D006B" w:rsidRDefault="008178C2" w:rsidP="00150D49">
            <w:pPr>
              <w:ind w:hanging="14"/>
              <w:jc w:val="both"/>
              <w:rPr>
                <w:szCs w:val="24"/>
              </w:rPr>
            </w:pPr>
            <w:r w:rsidRPr="006D006B">
              <w:rPr>
                <w:szCs w:val="24"/>
              </w:rPr>
              <w:t xml:space="preserve">Principal and unpaid accrued interest on the Notes will be due and payable </w:t>
            </w:r>
            <w:r w:rsidR="00150D49">
              <w:rPr>
                <w:szCs w:val="24"/>
              </w:rPr>
              <w:t>24</w:t>
            </w:r>
            <w:r w:rsidR="00150D49" w:rsidRPr="006D006B">
              <w:rPr>
                <w:szCs w:val="24"/>
              </w:rPr>
              <w:t xml:space="preserve"> </w:t>
            </w:r>
            <w:r w:rsidRPr="006D006B">
              <w:rPr>
                <w:szCs w:val="24"/>
              </w:rPr>
              <w:t>months from the date of the Note Purchase Agreement (the “</w:t>
            </w:r>
            <w:r w:rsidRPr="006D006B">
              <w:rPr>
                <w:b/>
                <w:i/>
                <w:szCs w:val="24"/>
              </w:rPr>
              <w:t>Maturity Date</w:t>
            </w:r>
            <w:r w:rsidRPr="006D006B">
              <w:rPr>
                <w:szCs w:val="24"/>
              </w:rPr>
              <w:t>”).</w:t>
            </w:r>
          </w:p>
        </w:tc>
      </w:tr>
      <w:tr w:rsidR="00F227AF" w:rsidRPr="006D006B" w14:paraId="3E660C48" w14:textId="77777777">
        <w:tc>
          <w:tcPr>
            <w:tcW w:w="3348" w:type="dxa"/>
          </w:tcPr>
          <w:p w14:paraId="382CB34E" w14:textId="77777777" w:rsidR="00F227AF" w:rsidRPr="006D006B" w:rsidRDefault="008178C2">
            <w:pPr>
              <w:spacing w:after="240"/>
              <w:rPr>
                <w:b/>
                <w:i/>
                <w:szCs w:val="24"/>
              </w:rPr>
            </w:pPr>
            <w:r w:rsidRPr="006D006B">
              <w:rPr>
                <w:b/>
                <w:i/>
                <w:szCs w:val="24"/>
              </w:rPr>
              <w:t>Interest:</w:t>
            </w:r>
          </w:p>
        </w:tc>
        <w:tc>
          <w:tcPr>
            <w:tcW w:w="6120" w:type="dxa"/>
          </w:tcPr>
          <w:p w14:paraId="25E78856" w14:textId="0871618A" w:rsidR="00F227AF" w:rsidRPr="006D006B" w:rsidRDefault="008178C2" w:rsidP="00647F3B">
            <w:pPr>
              <w:spacing w:after="240"/>
              <w:ind w:hanging="18"/>
              <w:jc w:val="both"/>
              <w:rPr>
                <w:szCs w:val="24"/>
                <w:u w:val="single"/>
              </w:rPr>
            </w:pPr>
            <w:r w:rsidRPr="006D006B">
              <w:rPr>
                <w:szCs w:val="24"/>
              </w:rPr>
              <w:t xml:space="preserve">Simple interest will accrue on an annual basis at the rate of </w:t>
            </w:r>
            <w:r w:rsidR="00CC4E76" w:rsidRPr="006D006B">
              <w:rPr>
                <w:szCs w:val="24"/>
              </w:rPr>
              <w:t>4</w:t>
            </w:r>
            <w:r w:rsidRPr="006D006B">
              <w:rPr>
                <w:szCs w:val="24"/>
              </w:rPr>
              <w:t>%</w:t>
            </w:r>
            <w:r w:rsidR="00647F3B" w:rsidRPr="006D006B">
              <w:rPr>
                <w:szCs w:val="24"/>
              </w:rPr>
              <w:t xml:space="preserve"> </w:t>
            </w:r>
            <w:r w:rsidR="006D006B" w:rsidRPr="006D006B">
              <w:rPr>
                <w:szCs w:val="24"/>
              </w:rPr>
              <w:t>per annum based on a 365-</w:t>
            </w:r>
            <w:r w:rsidRPr="006D006B">
              <w:rPr>
                <w:szCs w:val="24"/>
              </w:rPr>
              <w:t>day year.</w:t>
            </w:r>
          </w:p>
        </w:tc>
      </w:tr>
      <w:tr w:rsidR="00F227AF" w:rsidRPr="006D006B" w14:paraId="3DD35072" w14:textId="77777777">
        <w:trPr>
          <w:trHeight w:val="90"/>
        </w:trPr>
        <w:tc>
          <w:tcPr>
            <w:tcW w:w="3348" w:type="dxa"/>
          </w:tcPr>
          <w:p w14:paraId="6BF1F31B" w14:textId="77777777" w:rsidR="00F227AF" w:rsidRPr="006D006B" w:rsidRDefault="008178C2">
            <w:pPr>
              <w:spacing w:after="240"/>
              <w:rPr>
                <w:b/>
                <w:i/>
                <w:szCs w:val="24"/>
              </w:rPr>
            </w:pPr>
            <w:r w:rsidRPr="006D006B">
              <w:rPr>
                <w:b/>
                <w:i/>
                <w:szCs w:val="24"/>
              </w:rPr>
              <w:lastRenderedPageBreak/>
              <w:t>Conversion to Equity:</w:t>
            </w:r>
          </w:p>
        </w:tc>
        <w:tc>
          <w:tcPr>
            <w:tcW w:w="6120" w:type="dxa"/>
          </w:tcPr>
          <w:p w14:paraId="3C08418E" w14:textId="62D23E65" w:rsidR="00F227AF" w:rsidRPr="006D006B" w:rsidRDefault="008178C2">
            <w:pPr>
              <w:keepNext/>
              <w:keepLines/>
              <w:spacing w:after="240"/>
              <w:ind w:hanging="14"/>
              <w:jc w:val="both"/>
              <w:rPr>
                <w:szCs w:val="24"/>
              </w:rPr>
            </w:pPr>
            <w:r w:rsidRPr="006D006B">
              <w:rPr>
                <w:szCs w:val="24"/>
              </w:rPr>
              <w:t>Automatic Conversion in a Qualified Financing.  If the Company issues equity securities (“</w:t>
            </w:r>
            <w:r w:rsidRPr="006D006B">
              <w:rPr>
                <w:b/>
                <w:i/>
                <w:szCs w:val="24"/>
              </w:rPr>
              <w:t>Equity Securities</w:t>
            </w:r>
            <w:r w:rsidRPr="006D006B">
              <w:rPr>
                <w:szCs w:val="24"/>
              </w:rPr>
              <w:t>”) in a transaction or series of related transactions resulting in aggregate gross proceeds to the Company of at least $</w:t>
            </w:r>
            <w:r w:rsidR="00647F3B" w:rsidRPr="006D006B">
              <w:rPr>
                <w:szCs w:val="24"/>
              </w:rPr>
              <w:t>1,000,000</w:t>
            </w:r>
            <w:r w:rsidRPr="006D006B">
              <w:rPr>
                <w:szCs w:val="24"/>
              </w:rPr>
              <w:t xml:space="preserve">,  </w:t>
            </w:r>
            <w:r w:rsidR="006D006B" w:rsidRPr="006D006B">
              <w:rPr>
                <w:szCs w:val="24"/>
              </w:rPr>
              <w:t>ex</w:t>
            </w:r>
            <w:r w:rsidRPr="006D006B">
              <w:rPr>
                <w:szCs w:val="24"/>
              </w:rPr>
              <w:t>cluding conversion of the Notes and any other indebtedness (a “</w:t>
            </w:r>
            <w:r w:rsidRPr="006D006B">
              <w:rPr>
                <w:b/>
                <w:i/>
                <w:szCs w:val="24"/>
              </w:rPr>
              <w:t>Qualified Financing</w:t>
            </w:r>
            <w:r w:rsidRPr="006D006B">
              <w:rPr>
                <w:szCs w:val="24"/>
              </w:rPr>
              <w:t xml:space="preserve">”), then the Notes, and any accrued but unpaid interest thereon, will automatically convert into the equity securities issued pursuant to the Qualified Financing at a conversion price equal to the lesser of (i) </w:t>
            </w:r>
            <w:r w:rsidR="00647F3B" w:rsidRPr="006D006B">
              <w:rPr>
                <w:szCs w:val="24"/>
              </w:rPr>
              <w:t>80</w:t>
            </w:r>
            <w:r w:rsidRPr="006D006B">
              <w:rPr>
                <w:szCs w:val="24"/>
              </w:rPr>
              <w:t>%</w:t>
            </w:r>
            <w:r w:rsidR="00647F3B" w:rsidRPr="006D006B">
              <w:rPr>
                <w:szCs w:val="24"/>
              </w:rPr>
              <w:t xml:space="preserve"> </w:t>
            </w:r>
            <w:r w:rsidRPr="006D006B">
              <w:rPr>
                <w:szCs w:val="24"/>
              </w:rPr>
              <w:t>of the per share price paid by the purchasers of such equity securities in the Qualified Financing or (ii) the price equal to the quotient of $</w:t>
            </w:r>
            <w:r w:rsidR="00ED3C47" w:rsidRPr="006D006B">
              <w:rPr>
                <w:szCs w:val="24"/>
              </w:rPr>
              <w:t>2</w:t>
            </w:r>
            <w:r w:rsidR="00647F3B" w:rsidRPr="006D006B">
              <w:rPr>
                <w:szCs w:val="24"/>
              </w:rPr>
              <w:t>,</w:t>
            </w:r>
            <w:r w:rsidR="00ED3C47" w:rsidRPr="006D006B">
              <w:rPr>
                <w:szCs w:val="24"/>
              </w:rPr>
              <w:t>5</w:t>
            </w:r>
            <w:r w:rsidR="00647F3B" w:rsidRPr="006D006B">
              <w:rPr>
                <w:szCs w:val="24"/>
              </w:rPr>
              <w:t xml:space="preserve">00,000 </w:t>
            </w:r>
            <w:r w:rsidRPr="006D006B">
              <w:rPr>
                <w:szCs w:val="24"/>
              </w:rPr>
              <w:t>divided by the aggregate number of outstanding shares of the Company’s Common Stock as of immediately prior to the initial closing of the Qualified Financing (assuming full conversion or exercise of all convertible and exercisable securities then ou</w:t>
            </w:r>
            <w:r w:rsidR="003500B9" w:rsidRPr="006D006B">
              <w:rPr>
                <w:szCs w:val="24"/>
              </w:rPr>
              <w:t>tstanding other than the Notes)</w:t>
            </w:r>
            <w:r w:rsidRPr="006D006B">
              <w:rPr>
                <w:szCs w:val="24"/>
              </w:rPr>
              <w:t>.</w:t>
            </w:r>
            <w:r w:rsidR="00FB7B38">
              <w:rPr>
                <w:szCs w:val="24"/>
              </w:rPr>
              <w:t xml:space="preserve">  </w:t>
            </w:r>
            <w:r w:rsidR="000005B2">
              <w:rPr>
                <w:szCs w:val="24"/>
              </w:rPr>
              <w:t>Any</w:t>
            </w:r>
            <w:r w:rsidR="00FB7B38">
              <w:rPr>
                <w:szCs w:val="24"/>
              </w:rPr>
              <w:t xml:space="preserve"> liquidation preference</w:t>
            </w:r>
            <w:r w:rsidR="009C508D">
              <w:rPr>
                <w:szCs w:val="24"/>
              </w:rPr>
              <w:t xml:space="preserve"> to which the Investors </w:t>
            </w:r>
            <w:r w:rsidR="000005B2">
              <w:rPr>
                <w:szCs w:val="24"/>
              </w:rPr>
              <w:t>are</w:t>
            </w:r>
            <w:r w:rsidR="009C508D">
              <w:rPr>
                <w:szCs w:val="24"/>
              </w:rPr>
              <w:t xml:space="preserve"> entitled </w:t>
            </w:r>
            <w:r w:rsidR="00896CA6">
              <w:rPr>
                <w:szCs w:val="24"/>
              </w:rPr>
              <w:t xml:space="preserve">will be limited to the </w:t>
            </w:r>
            <w:r w:rsidR="00146A36">
              <w:rPr>
                <w:szCs w:val="24"/>
              </w:rPr>
              <w:t>principal</w:t>
            </w:r>
            <w:r w:rsidR="00896CA6">
              <w:rPr>
                <w:szCs w:val="24"/>
              </w:rPr>
              <w:t xml:space="preserve"> amount of the</w:t>
            </w:r>
            <w:r w:rsidR="00146A36">
              <w:rPr>
                <w:szCs w:val="24"/>
              </w:rPr>
              <w:t xml:space="preserve"> Notes.</w:t>
            </w:r>
            <w:r w:rsidR="00FB7B38">
              <w:rPr>
                <w:szCs w:val="24"/>
              </w:rPr>
              <w:t xml:space="preserve"> </w:t>
            </w:r>
            <w:r w:rsidRPr="006D006B">
              <w:rPr>
                <w:szCs w:val="24"/>
              </w:rPr>
              <w:t xml:space="preserve">  </w:t>
            </w:r>
          </w:p>
          <w:p w14:paraId="23C7AA0C" w14:textId="69FFE87D" w:rsidR="00F227AF" w:rsidRPr="006D006B" w:rsidRDefault="00150D49" w:rsidP="00150D49">
            <w:pPr>
              <w:keepNext/>
              <w:keepLines/>
              <w:spacing w:after="240"/>
              <w:ind w:hanging="14"/>
              <w:jc w:val="both"/>
              <w:rPr>
                <w:szCs w:val="24"/>
              </w:rPr>
            </w:pPr>
            <w:r>
              <w:rPr>
                <w:szCs w:val="24"/>
              </w:rPr>
              <w:t xml:space="preserve">Mutual </w:t>
            </w:r>
            <w:r w:rsidR="008178C2" w:rsidRPr="006D006B">
              <w:rPr>
                <w:szCs w:val="24"/>
              </w:rPr>
              <w:t xml:space="preserve">Voluntary Conversion at the Maturity Date.  If the Notes have not been previously converted pursuant to a Qualified Financing, then, effective upon the Maturity Date, </w:t>
            </w:r>
            <w:r>
              <w:rPr>
                <w:szCs w:val="24"/>
              </w:rPr>
              <w:t xml:space="preserve">either </w:t>
            </w:r>
            <w:r w:rsidR="008178C2" w:rsidRPr="006D006B">
              <w:rPr>
                <w:szCs w:val="24"/>
              </w:rPr>
              <w:t xml:space="preserve">the Requisite Holders (as defined below) </w:t>
            </w:r>
            <w:r>
              <w:rPr>
                <w:szCs w:val="24"/>
              </w:rPr>
              <w:t xml:space="preserve">or the Company </w:t>
            </w:r>
            <w:r w:rsidR="008178C2" w:rsidRPr="006D006B">
              <w:rPr>
                <w:szCs w:val="24"/>
              </w:rPr>
              <w:t>may elect to convert each of the Notes into shares of the Company’s Common Stock at a conversion price equal to the quotient of $</w:t>
            </w:r>
            <w:r w:rsidR="00ED3C47" w:rsidRPr="006D006B">
              <w:rPr>
                <w:szCs w:val="24"/>
              </w:rPr>
              <w:t>2</w:t>
            </w:r>
            <w:r w:rsidR="00647F3B" w:rsidRPr="006D006B">
              <w:rPr>
                <w:szCs w:val="24"/>
              </w:rPr>
              <w:t>,</w:t>
            </w:r>
            <w:r>
              <w:rPr>
                <w:szCs w:val="24"/>
              </w:rPr>
              <w:t>250</w:t>
            </w:r>
            <w:r w:rsidR="00647F3B" w:rsidRPr="006D006B">
              <w:rPr>
                <w:szCs w:val="24"/>
              </w:rPr>
              <w:t>,000</w:t>
            </w:r>
            <w:r w:rsidR="008178C2" w:rsidRPr="006D006B">
              <w:rPr>
                <w:szCs w:val="24"/>
              </w:rPr>
              <w:t xml:space="preserve"> divided by the aggregate number of outstanding shares of the Company’s Common Stock as of the Maturity Date (assuming full conversion or exercise of all convertible and exercisable securities then outstanding other than the Notes).  Any election to convert the Notes pursuant to this paragraph will be made in writing and delivered to the Company </w:t>
            </w:r>
            <w:r>
              <w:rPr>
                <w:szCs w:val="24"/>
              </w:rPr>
              <w:t xml:space="preserve">or the Investors </w:t>
            </w:r>
            <w:r w:rsidR="008178C2" w:rsidRPr="006D006B">
              <w:rPr>
                <w:szCs w:val="24"/>
              </w:rPr>
              <w:t>at least five days prior to the Maturity Date.</w:t>
            </w:r>
          </w:p>
        </w:tc>
      </w:tr>
      <w:tr w:rsidR="00F227AF" w:rsidRPr="006D006B" w14:paraId="653FCC51" w14:textId="77777777">
        <w:trPr>
          <w:trHeight w:val="90"/>
        </w:trPr>
        <w:tc>
          <w:tcPr>
            <w:tcW w:w="3348" w:type="dxa"/>
          </w:tcPr>
          <w:p w14:paraId="6EC20731" w14:textId="77777777" w:rsidR="00F227AF" w:rsidRPr="006D006B" w:rsidRDefault="008178C2" w:rsidP="00647F3B">
            <w:pPr>
              <w:spacing w:after="240"/>
              <w:rPr>
                <w:b/>
                <w:i/>
                <w:szCs w:val="24"/>
              </w:rPr>
            </w:pPr>
            <w:r w:rsidRPr="006D006B">
              <w:rPr>
                <w:b/>
                <w:i/>
                <w:szCs w:val="24"/>
              </w:rPr>
              <w:lastRenderedPageBreak/>
              <w:t>Sale of the Company:</w:t>
            </w:r>
          </w:p>
        </w:tc>
        <w:tc>
          <w:tcPr>
            <w:tcW w:w="6120" w:type="dxa"/>
          </w:tcPr>
          <w:p w14:paraId="249AE494" w14:textId="1986F36E" w:rsidR="00F227AF" w:rsidRPr="006D006B" w:rsidRDefault="008178C2" w:rsidP="00150D49">
            <w:pPr>
              <w:keepNext/>
              <w:keepLines/>
              <w:spacing w:after="240"/>
              <w:ind w:hanging="14"/>
              <w:jc w:val="both"/>
              <w:rPr>
                <w:szCs w:val="24"/>
              </w:rPr>
            </w:pPr>
            <w:r w:rsidRPr="006D006B">
              <w:rPr>
                <w:szCs w:val="24"/>
              </w:rPr>
              <w:t xml:space="preserve">If a Qualified Financing has not occurred and the Company elects to consummate a sale of the Company prior to the Maturity Date, then notwithstanding any provision of the Notes to the contrary (i) the Company will give the Investors at least five days prior written notice of the anticipated closing date of such sale of the Company and (ii) </w:t>
            </w:r>
            <w:r w:rsidR="003500B9" w:rsidRPr="006D006B">
              <w:rPr>
                <w:szCs w:val="24"/>
              </w:rPr>
              <w:t xml:space="preserve">at the election of the Investors, either (A) at the closing of such Sale of the Company, the Company will pay the Investors the aggregate amount of principal and interest then outstanding under the Notes in full satisfaction of the Company’s obligations under the Notes, or (B) </w:t>
            </w:r>
            <w:r w:rsidR="003500B9" w:rsidRPr="006D006B">
              <w:t xml:space="preserve">the outstanding principal balance of the Notes will be converted into shares of Common Stock of the Company at a conversion price </w:t>
            </w:r>
            <w:r w:rsidR="003500B9" w:rsidRPr="006D006B">
              <w:rPr>
                <w:szCs w:val="24"/>
              </w:rPr>
              <w:t>equal to the quotient of $</w:t>
            </w:r>
            <w:r w:rsidR="00ED3C47" w:rsidRPr="006D006B">
              <w:rPr>
                <w:szCs w:val="24"/>
              </w:rPr>
              <w:t>2</w:t>
            </w:r>
            <w:r w:rsidR="003500B9" w:rsidRPr="006D006B">
              <w:rPr>
                <w:szCs w:val="24"/>
              </w:rPr>
              <w:t>,</w:t>
            </w:r>
            <w:r w:rsidR="00150D49">
              <w:rPr>
                <w:szCs w:val="24"/>
              </w:rPr>
              <w:t>250</w:t>
            </w:r>
            <w:r w:rsidR="003500B9" w:rsidRPr="006D006B">
              <w:rPr>
                <w:szCs w:val="24"/>
              </w:rPr>
              <w:t>,000 divided by the aggregate number of outstanding shares of the Company’s Common Stock as of the Maturity Date (assuming full conversion or exercise of all convertible and exercisable securities then outstanding other than the Notes).</w:t>
            </w:r>
          </w:p>
        </w:tc>
      </w:tr>
      <w:tr w:rsidR="00F227AF" w:rsidRPr="006D006B" w14:paraId="57EEB443" w14:textId="77777777">
        <w:tc>
          <w:tcPr>
            <w:tcW w:w="3348" w:type="dxa"/>
          </w:tcPr>
          <w:p w14:paraId="5B8E355D" w14:textId="77777777" w:rsidR="00F227AF" w:rsidRPr="006D006B" w:rsidRDefault="008178C2">
            <w:pPr>
              <w:spacing w:after="240"/>
              <w:rPr>
                <w:b/>
                <w:i/>
                <w:szCs w:val="24"/>
              </w:rPr>
            </w:pPr>
            <w:r w:rsidRPr="006D006B">
              <w:rPr>
                <w:b/>
                <w:i/>
                <w:szCs w:val="24"/>
              </w:rPr>
              <w:t>Pre-Payment:</w:t>
            </w:r>
          </w:p>
        </w:tc>
        <w:tc>
          <w:tcPr>
            <w:tcW w:w="6120" w:type="dxa"/>
          </w:tcPr>
          <w:p w14:paraId="79A206E0" w14:textId="77777777" w:rsidR="00F227AF" w:rsidRPr="006D006B" w:rsidRDefault="008178C2">
            <w:pPr>
              <w:spacing w:after="240"/>
              <w:ind w:hanging="18"/>
              <w:jc w:val="both"/>
            </w:pPr>
            <w:r w:rsidRPr="006D006B">
              <w:rPr>
                <w:szCs w:val="24"/>
              </w:rPr>
              <w:t>The principal and accrued interest may not be prepaid unless approved in writing by Investors holding Notes whose aggregate principal amount represents a majority of the outstanding principal amount of all then-outstanding Notes (the “</w:t>
            </w:r>
            <w:r w:rsidRPr="006D006B">
              <w:rPr>
                <w:b/>
                <w:i/>
                <w:szCs w:val="24"/>
              </w:rPr>
              <w:t>Requisite Holders</w:t>
            </w:r>
            <w:r w:rsidRPr="006D006B">
              <w:rPr>
                <w:szCs w:val="24"/>
              </w:rPr>
              <w:t>”)</w:t>
            </w:r>
            <w:r w:rsidRPr="006D006B">
              <w:t>.</w:t>
            </w:r>
          </w:p>
        </w:tc>
      </w:tr>
      <w:tr w:rsidR="00F227AF" w:rsidRPr="006D006B" w14:paraId="787B4B05" w14:textId="77777777">
        <w:tc>
          <w:tcPr>
            <w:tcW w:w="3348" w:type="dxa"/>
          </w:tcPr>
          <w:p w14:paraId="7B8655F6" w14:textId="77777777" w:rsidR="00F227AF" w:rsidRPr="006D006B" w:rsidRDefault="008178C2">
            <w:pPr>
              <w:spacing w:after="240"/>
              <w:rPr>
                <w:b/>
                <w:i/>
                <w:szCs w:val="24"/>
              </w:rPr>
            </w:pPr>
            <w:r w:rsidRPr="006D006B">
              <w:rPr>
                <w:b/>
                <w:i/>
                <w:szCs w:val="24"/>
              </w:rPr>
              <w:t>Amendment and Waiver:</w:t>
            </w:r>
          </w:p>
        </w:tc>
        <w:tc>
          <w:tcPr>
            <w:tcW w:w="6120" w:type="dxa"/>
          </w:tcPr>
          <w:p w14:paraId="6B9CC696" w14:textId="77777777" w:rsidR="00F227AF" w:rsidRPr="006D006B" w:rsidRDefault="008178C2">
            <w:pPr>
              <w:spacing w:after="240"/>
              <w:ind w:hanging="18"/>
              <w:jc w:val="both"/>
              <w:rPr>
                <w:szCs w:val="24"/>
              </w:rPr>
            </w:pPr>
            <w:r w:rsidRPr="006D006B">
              <w:rPr>
                <w:szCs w:val="24"/>
              </w:rPr>
              <w:t>The Note Purchase Agreement and the Notes may be amended, or any term thereof waived, upon the written consent of the Company and the Requisite Holders.</w:t>
            </w:r>
          </w:p>
        </w:tc>
      </w:tr>
      <w:tr w:rsidR="00F227AF" w:rsidRPr="006D006B" w14:paraId="1154908C" w14:textId="77777777">
        <w:tc>
          <w:tcPr>
            <w:tcW w:w="3348" w:type="dxa"/>
          </w:tcPr>
          <w:p w14:paraId="2CF9F9A0" w14:textId="77777777" w:rsidR="00F227AF" w:rsidRPr="006D006B" w:rsidRDefault="008178C2">
            <w:pPr>
              <w:spacing w:after="240"/>
              <w:rPr>
                <w:b/>
                <w:i/>
                <w:szCs w:val="24"/>
              </w:rPr>
            </w:pPr>
            <w:r w:rsidRPr="006D006B">
              <w:rPr>
                <w:b/>
                <w:i/>
                <w:szCs w:val="24"/>
              </w:rPr>
              <w:t>No Security Interest:</w:t>
            </w:r>
          </w:p>
        </w:tc>
        <w:tc>
          <w:tcPr>
            <w:tcW w:w="6120" w:type="dxa"/>
          </w:tcPr>
          <w:p w14:paraId="0CEA3DE1" w14:textId="77777777" w:rsidR="00F227AF" w:rsidRPr="006D006B" w:rsidRDefault="008178C2">
            <w:pPr>
              <w:spacing w:after="240"/>
              <w:ind w:hanging="18"/>
              <w:jc w:val="both"/>
              <w:rPr>
                <w:szCs w:val="24"/>
              </w:rPr>
            </w:pPr>
            <w:r w:rsidRPr="006D006B">
              <w:rPr>
                <w:szCs w:val="24"/>
              </w:rPr>
              <w:t>The Notes will be a general unsecured</w:t>
            </w:r>
            <w:r w:rsidRPr="006D006B">
              <w:rPr>
                <w:b/>
                <w:szCs w:val="24"/>
              </w:rPr>
              <w:t xml:space="preserve"> </w:t>
            </w:r>
            <w:r w:rsidRPr="006D006B">
              <w:rPr>
                <w:szCs w:val="24"/>
              </w:rPr>
              <w:t>obligation of the Company.</w:t>
            </w:r>
          </w:p>
        </w:tc>
      </w:tr>
      <w:tr w:rsidR="00F227AF" w14:paraId="5C58BEBD" w14:textId="77777777">
        <w:tc>
          <w:tcPr>
            <w:tcW w:w="3348" w:type="dxa"/>
          </w:tcPr>
          <w:p w14:paraId="7439F9FD" w14:textId="77777777" w:rsidR="00F227AF" w:rsidRPr="006D006B" w:rsidRDefault="008178C2">
            <w:pPr>
              <w:spacing w:after="240"/>
              <w:rPr>
                <w:b/>
                <w:i/>
                <w:szCs w:val="24"/>
              </w:rPr>
            </w:pPr>
            <w:r w:rsidRPr="006D006B">
              <w:rPr>
                <w:b/>
                <w:i/>
                <w:szCs w:val="24"/>
              </w:rPr>
              <w:t>Fees and Expenses:</w:t>
            </w:r>
          </w:p>
        </w:tc>
        <w:tc>
          <w:tcPr>
            <w:tcW w:w="6120" w:type="dxa"/>
          </w:tcPr>
          <w:p w14:paraId="6F38426A" w14:textId="77777777" w:rsidR="00F227AF" w:rsidRDefault="008178C2">
            <w:pPr>
              <w:spacing w:after="240"/>
              <w:ind w:hanging="18"/>
              <w:jc w:val="both"/>
              <w:rPr>
                <w:szCs w:val="24"/>
              </w:rPr>
            </w:pPr>
            <w:r w:rsidRPr="006D006B">
              <w:rPr>
                <w:szCs w:val="24"/>
              </w:rPr>
              <w:t>Each Investor will bear its own fees and expenses incurred in the transactions contemplated by this term sheet.</w:t>
            </w:r>
          </w:p>
        </w:tc>
      </w:tr>
    </w:tbl>
    <w:p w14:paraId="539A3798" w14:textId="77777777" w:rsidR="008178C2" w:rsidRDefault="008178C2">
      <w:pPr>
        <w:spacing w:after="240"/>
        <w:rPr>
          <w:szCs w:val="24"/>
        </w:rPr>
      </w:pPr>
    </w:p>
    <w:sectPr w:rsidR="008178C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3E1B8" w14:textId="77777777" w:rsidR="00E30565" w:rsidRDefault="00E30565">
      <w:r>
        <w:separator/>
      </w:r>
    </w:p>
  </w:endnote>
  <w:endnote w:type="continuationSeparator" w:id="0">
    <w:p w14:paraId="0E66CF38" w14:textId="77777777" w:rsidR="00E30565" w:rsidRDefault="00E3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Verdana">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588F8" w14:textId="77777777" w:rsidR="00F227AF" w:rsidRDefault="008178C2">
    <w:pPr>
      <w:pStyle w:val="zDocID"/>
      <w:framePr w:wrap="around"/>
    </w:pPr>
    <w:r>
      <w:t>GDSVF&amp;H\383718.3</w:t>
    </w:r>
    <w:r>
      <w:rPr>
        <w:b/>
        <w:sz w:val="18"/>
      </w:rPr>
      <w:tab/>
    </w:r>
  </w:p>
  <w:p w14:paraId="5D7462A4" w14:textId="77777777" w:rsidR="00F227AF" w:rsidRDefault="008178C2">
    <w:r>
      <w:t>GDSVF&amp;H\#383718v3</w:t>
    </w:r>
    <w:r>
      <w:rPr>
        <w:b/>
        <w:sz w:val="18"/>
      </w:rPr>
      <w:tab/>
    </w:r>
  </w:p>
  <w:p w14:paraId="54F91188" w14:textId="77777777" w:rsidR="00F227AF" w:rsidRDefault="008178C2">
    <w:r>
      <w:rPr>
        <w:rStyle w:val="DocID"/>
      </w:rPr>
      <w:t>LIBC/3820363.1</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1EA7F" w14:textId="77777777" w:rsidR="00260E6F" w:rsidRDefault="00260E6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FFDD4" w14:textId="77777777" w:rsidR="00260E6F" w:rsidRDefault="00260E6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08E3A" w14:textId="77777777" w:rsidR="00E30565" w:rsidRDefault="00E30565">
      <w:pPr>
        <w:spacing w:line="240" w:lineRule="atLeast"/>
      </w:pPr>
      <w:r>
        <w:separator/>
      </w:r>
    </w:p>
  </w:footnote>
  <w:footnote w:type="continuationSeparator" w:id="0">
    <w:p w14:paraId="6C156693" w14:textId="77777777" w:rsidR="00E30565" w:rsidRDefault="00E30565">
      <w:pPr>
        <w:spacing w:line="240" w:lineRule="atLeast"/>
      </w:pPr>
      <w:r>
        <w:separator/>
      </w:r>
    </w:p>
    <w:p w14:paraId="0C0D1113" w14:textId="77777777" w:rsidR="00E30565" w:rsidRDefault="00E30565">
      <w:pPr>
        <w:spacing w:after="120"/>
        <w:rPr>
          <w:sz w:val="20"/>
        </w:rPr>
      </w:pPr>
    </w:p>
  </w:footnote>
  <w:footnote w:type="continuationNotice" w:id="1">
    <w:p w14:paraId="0B133BFF" w14:textId="77777777" w:rsidR="00E30565" w:rsidRDefault="00E30565">
      <w:pPr>
        <w:tabs>
          <w:tab w:val="right" w:pos="8640"/>
        </w:tabs>
        <w:spacing w:line="240" w:lineRule="atLeast"/>
        <w:jc w:val="right"/>
        <w:rPr>
          <w:sz w:val="16"/>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3FD90" w14:textId="77777777" w:rsidR="00260E6F" w:rsidRDefault="00260E6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EC013" w14:textId="77777777" w:rsidR="00260E6F" w:rsidRDefault="00260E6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294F6" w14:textId="19A4F5D0" w:rsidR="00260E6F" w:rsidRDefault="00260E6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0D70E3C8"/>
    <w:lvl w:ilvl="0">
      <w:start w:val="1"/>
      <w:numFmt w:val="upperLetter"/>
      <w:pStyle w:val="ListNumber"/>
      <w:lvlText w:val="%1."/>
      <w:lvlJc w:val="left"/>
      <w:pPr>
        <w:tabs>
          <w:tab w:val="num" w:pos="0"/>
        </w:tabs>
        <w:ind w:left="0" w:firstLine="720"/>
      </w:pPr>
      <w:rPr>
        <w:rFonts w:hint="default"/>
      </w:rPr>
    </w:lvl>
  </w:abstractNum>
  <w:abstractNum w:abstractNumId="1">
    <w:nsid w:val="FFFFFFFB"/>
    <w:multiLevelType w:val="multilevel"/>
    <w:tmpl w:val="469882C4"/>
    <w:lvl w:ilvl="0">
      <w:start w:val="1"/>
      <w:numFmt w:val="decimal"/>
      <w:pStyle w:val="Heading1"/>
      <w:lvlText w:val="%1."/>
      <w:lvlJc w:val="left"/>
      <w:pPr>
        <w:tabs>
          <w:tab w:val="num" w:pos="0"/>
        </w:tabs>
        <w:ind w:left="0" w:firstLine="1440"/>
      </w:pPr>
      <w:rPr>
        <w:rFonts w:hint="default"/>
      </w:rPr>
    </w:lvl>
    <w:lvl w:ilvl="1">
      <w:start w:val="1"/>
      <w:numFmt w:val="decimal"/>
      <w:pStyle w:val="Heading2"/>
      <w:lvlText w:val="%1.%2"/>
      <w:lvlJc w:val="left"/>
      <w:pPr>
        <w:tabs>
          <w:tab w:val="num" w:pos="0"/>
        </w:tabs>
        <w:ind w:left="0" w:firstLine="2160"/>
      </w:pPr>
      <w:rPr>
        <w:rFonts w:hint="default"/>
      </w:rPr>
    </w:lvl>
    <w:lvl w:ilvl="2">
      <w:start w:val="1"/>
      <w:numFmt w:val="lowerLetter"/>
      <w:pStyle w:val="Heading3"/>
      <w:lvlText w:val="(%3)"/>
      <w:lvlJc w:val="left"/>
      <w:pPr>
        <w:tabs>
          <w:tab w:val="num" w:pos="0"/>
        </w:tabs>
        <w:ind w:left="0" w:firstLine="2880"/>
      </w:pPr>
      <w:rPr>
        <w:rFonts w:hint="default"/>
      </w:rPr>
    </w:lvl>
    <w:lvl w:ilvl="3">
      <w:start w:val="1"/>
      <w:numFmt w:val="lowerRoman"/>
      <w:pStyle w:val="Heading4"/>
      <w:lvlText w:val="(%4)"/>
      <w:lvlJc w:val="left"/>
      <w:pPr>
        <w:tabs>
          <w:tab w:val="num" w:pos="0"/>
        </w:tabs>
        <w:ind w:left="0" w:firstLine="3600"/>
      </w:pPr>
      <w:rPr>
        <w:rFonts w:hint="default"/>
      </w:rPr>
    </w:lvl>
    <w:lvl w:ilvl="4">
      <w:start w:val="1"/>
      <w:numFmt w:val="lowerRoman"/>
      <w:pStyle w:val="Heading5"/>
      <w:lvlText w:val="(%5)"/>
      <w:lvlJc w:val="left"/>
      <w:pPr>
        <w:tabs>
          <w:tab w:val="num" w:pos="0"/>
        </w:tabs>
        <w:ind w:left="0" w:firstLine="0"/>
      </w:pPr>
      <w:rPr>
        <w:rFonts w:hint="default"/>
      </w:rPr>
    </w:lvl>
    <w:lvl w:ilvl="5">
      <w:start w:val="1"/>
      <w:numFmt w:val="decimal"/>
      <w:pStyle w:val="Heading6"/>
      <w:lvlText w:val="(%6)"/>
      <w:lvlJc w:val="left"/>
      <w:pPr>
        <w:tabs>
          <w:tab w:val="num" w:pos="0"/>
        </w:tabs>
        <w:ind w:left="0" w:firstLine="0"/>
      </w:pPr>
      <w:rPr>
        <w:rFonts w:hint="default"/>
      </w:rPr>
    </w:lvl>
    <w:lvl w:ilvl="6">
      <w:start w:val="1"/>
      <w:numFmt w:val="lowerRoman"/>
      <w:pStyle w:val="Heading7"/>
      <w:lvlText w:val="(%7)"/>
      <w:lvlJc w:val="left"/>
      <w:pPr>
        <w:tabs>
          <w:tab w:val="num" w:pos="0"/>
        </w:tabs>
        <w:ind w:left="0" w:hanging="720"/>
      </w:pPr>
      <w:rPr>
        <w:rFonts w:hint="default"/>
      </w:rPr>
    </w:lvl>
    <w:lvl w:ilvl="7">
      <w:start w:val="1"/>
      <w:numFmt w:val="lowerLetter"/>
      <w:pStyle w:val="Heading8"/>
      <w:lvlText w:val="(%8)"/>
      <w:lvlJc w:val="left"/>
      <w:pPr>
        <w:tabs>
          <w:tab w:val="num" w:pos="0"/>
        </w:tabs>
        <w:ind w:left="0" w:hanging="720"/>
      </w:pPr>
      <w:rPr>
        <w:rFonts w:hint="default"/>
      </w:rPr>
    </w:lvl>
    <w:lvl w:ilvl="8">
      <w:start w:val="1"/>
      <w:numFmt w:val="lowerRoman"/>
      <w:pStyle w:val="Heading9"/>
      <w:lvlText w:val="(%9)"/>
      <w:lvlJc w:val="left"/>
      <w:pPr>
        <w:tabs>
          <w:tab w:val="num" w:pos="0"/>
        </w:tabs>
        <w:ind w:left="6480" w:hanging="720"/>
      </w:pPr>
      <w:rPr>
        <w:rFonts w:hint="default"/>
      </w:rPr>
    </w:lvl>
  </w:abstractNum>
  <w:abstractNum w:abstractNumId="2">
    <w:nsid w:val="FFFFFFFE"/>
    <w:multiLevelType w:val="singleLevel"/>
    <w:tmpl w:val="FFFFFFFF"/>
    <w:lvl w:ilvl="0">
      <w:numFmt w:val="decimal"/>
      <w:lvlText w:val="*"/>
      <w:lvlJc w:val="left"/>
    </w:lvl>
  </w:abstractNum>
  <w:abstractNum w:abstractNumId="3">
    <w:nsid w:val="510B4C27"/>
    <w:multiLevelType w:val="singleLevel"/>
    <w:tmpl w:val="B20641A8"/>
    <w:lvl w:ilvl="0">
      <w:start w:val="1"/>
      <w:numFmt w:val="bullet"/>
      <w:pStyle w:val="bullet2"/>
      <w:lvlText w:val=""/>
      <w:lvlJc w:val="left"/>
      <w:pPr>
        <w:tabs>
          <w:tab w:val="num" w:pos="360"/>
        </w:tabs>
        <w:ind w:left="360" w:hanging="360"/>
      </w:pPr>
      <w:rPr>
        <w:rFonts w:ascii="Symbol" w:hAnsi="Symbol" w:hint="default"/>
        <w:sz w:val="20"/>
      </w:rPr>
    </w:lvl>
  </w:abstractNum>
  <w:abstractNum w:abstractNumId="4">
    <w:nsid w:val="6585680A"/>
    <w:multiLevelType w:val="singleLevel"/>
    <w:tmpl w:val="84147158"/>
    <w:lvl w:ilvl="0">
      <w:start w:val="1"/>
      <w:numFmt w:val="bullet"/>
      <w:pStyle w:val="bullet"/>
      <w:lvlText w:val=""/>
      <w:lvlJc w:val="left"/>
      <w:pPr>
        <w:tabs>
          <w:tab w:val="num" w:pos="360"/>
        </w:tabs>
        <w:ind w:left="360" w:hanging="360"/>
      </w:pPr>
      <w:rPr>
        <w:rFonts w:ascii="Symbol" w:hAnsi="Symbol" w:hint="default"/>
        <w:sz w:val="20"/>
      </w:rPr>
    </w:lvl>
  </w:abstractNum>
  <w:abstractNum w:abstractNumId="5">
    <w:nsid w:val="7B094DFD"/>
    <w:multiLevelType w:val="singleLevel"/>
    <w:tmpl w:val="B3C073E6"/>
    <w:lvl w:ilvl="0">
      <w:start w:val="1"/>
      <w:numFmt w:val="decimal"/>
      <w:pStyle w:val="Num"/>
      <w:lvlText w:val="(%1)"/>
      <w:lvlJc w:val="left"/>
      <w:pPr>
        <w:tabs>
          <w:tab w:val="num" w:pos="360"/>
        </w:tabs>
        <w:ind w:left="360" w:hanging="360"/>
      </w:pPr>
      <w:rPr>
        <w:rFonts w:hint="default"/>
      </w:rPr>
    </w:lvl>
  </w:abstractNum>
  <w:num w:numId="1">
    <w:abstractNumId w:val="2"/>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4"/>
  </w:num>
  <w:num w:numId="3">
    <w:abstractNumId w:val="3"/>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0"/>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intFractionalCharacterWidth/>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678"/>
    <w:rsid w:val="000005B2"/>
    <w:rsid w:val="00146A36"/>
    <w:rsid w:val="00150D49"/>
    <w:rsid w:val="002072FC"/>
    <w:rsid w:val="00260E6F"/>
    <w:rsid w:val="0034463A"/>
    <w:rsid w:val="003500B9"/>
    <w:rsid w:val="00647F3B"/>
    <w:rsid w:val="00661D33"/>
    <w:rsid w:val="006D006B"/>
    <w:rsid w:val="007134B6"/>
    <w:rsid w:val="008178C2"/>
    <w:rsid w:val="00896CA6"/>
    <w:rsid w:val="008C432B"/>
    <w:rsid w:val="009C508D"/>
    <w:rsid w:val="00A2475D"/>
    <w:rsid w:val="00A93260"/>
    <w:rsid w:val="00B20231"/>
    <w:rsid w:val="00C34FD0"/>
    <w:rsid w:val="00C9225D"/>
    <w:rsid w:val="00CC4E76"/>
    <w:rsid w:val="00E30565"/>
    <w:rsid w:val="00E829AF"/>
    <w:rsid w:val="00ED3C47"/>
    <w:rsid w:val="00ED71E9"/>
    <w:rsid w:val="00EF0678"/>
    <w:rsid w:val="00F227AF"/>
    <w:rsid w:val="00F277F7"/>
    <w:rsid w:val="00F50280"/>
    <w:rsid w:val="00F53BE4"/>
    <w:rsid w:val="00F5768D"/>
    <w:rsid w:val="00FB7B3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B50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suppressAutoHyphens/>
    </w:pPr>
    <w:rPr>
      <w:sz w:val="24"/>
    </w:rPr>
  </w:style>
  <w:style w:type="paragraph" w:styleId="Heading1">
    <w:name w:val="heading 1"/>
    <w:basedOn w:val="Normal"/>
    <w:next w:val="Normal"/>
    <w:qFormat/>
    <w:pPr>
      <w:numPr>
        <w:numId w:val="12"/>
      </w:numPr>
      <w:tabs>
        <w:tab w:val="clear" w:pos="0"/>
        <w:tab w:val="num" w:pos="360"/>
      </w:tabs>
      <w:spacing w:after="240"/>
      <w:ind w:firstLine="0"/>
      <w:jc w:val="both"/>
      <w:outlineLvl w:val="0"/>
    </w:pPr>
  </w:style>
  <w:style w:type="paragraph" w:styleId="Heading2">
    <w:name w:val="heading 2"/>
    <w:basedOn w:val="Normal"/>
    <w:qFormat/>
    <w:pPr>
      <w:numPr>
        <w:ilvl w:val="1"/>
        <w:numId w:val="12"/>
      </w:numPr>
      <w:tabs>
        <w:tab w:val="clear" w:pos="0"/>
        <w:tab w:val="num" w:pos="360"/>
      </w:tabs>
      <w:spacing w:after="240"/>
      <w:ind w:firstLine="0"/>
      <w:jc w:val="both"/>
      <w:outlineLvl w:val="1"/>
    </w:pPr>
  </w:style>
  <w:style w:type="paragraph" w:styleId="Heading3">
    <w:name w:val="heading 3"/>
    <w:basedOn w:val="Normal"/>
    <w:qFormat/>
    <w:pPr>
      <w:numPr>
        <w:ilvl w:val="2"/>
        <w:numId w:val="12"/>
      </w:numPr>
      <w:tabs>
        <w:tab w:val="clear" w:pos="0"/>
        <w:tab w:val="num" w:pos="360"/>
      </w:tabs>
      <w:spacing w:after="240"/>
      <w:ind w:firstLine="0"/>
      <w:jc w:val="both"/>
      <w:outlineLvl w:val="2"/>
    </w:pPr>
  </w:style>
  <w:style w:type="paragraph" w:styleId="Heading4">
    <w:name w:val="heading 4"/>
    <w:basedOn w:val="Normal"/>
    <w:qFormat/>
    <w:pPr>
      <w:numPr>
        <w:ilvl w:val="3"/>
        <w:numId w:val="12"/>
      </w:numPr>
      <w:tabs>
        <w:tab w:val="clear" w:pos="0"/>
        <w:tab w:val="num" w:pos="360"/>
      </w:tabs>
      <w:spacing w:after="240"/>
      <w:ind w:firstLine="0"/>
      <w:jc w:val="both"/>
      <w:outlineLvl w:val="3"/>
    </w:pPr>
  </w:style>
  <w:style w:type="paragraph" w:styleId="Heading5">
    <w:name w:val="heading 5"/>
    <w:basedOn w:val="Normal"/>
    <w:qFormat/>
    <w:pPr>
      <w:numPr>
        <w:ilvl w:val="4"/>
        <w:numId w:val="12"/>
      </w:numPr>
      <w:tabs>
        <w:tab w:val="clear" w:pos="0"/>
        <w:tab w:val="num" w:pos="360"/>
      </w:tabs>
      <w:spacing w:after="240"/>
      <w:jc w:val="both"/>
      <w:outlineLvl w:val="4"/>
    </w:pPr>
  </w:style>
  <w:style w:type="paragraph" w:styleId="Heading6">
    <w:name w:val="heading 6"/>
    <w:basedOn w:val="Normal"/>
    <w:next w:val="Normal"/>
    <w:qFormat/>
    <w:pPr>
      <w:numPr>
        <w:ilvl w:val="5"/>
        <w:numId w:val="12"/>
      </w:numPr>
      <w:tabs>
        <w:tab w:val="clear" w:pos="0"/>
        <w:tab w:val="num" w:pos="360"/>
      </w:tabs>
      <w:spacing w:after="240"/>
      <w:jc w:val="both"/>
      <w:outlineLvl w:val="5"/>
    </w:pPr>
  </w:style>
  <w:style w:type="paragraph" w:styleId="Heading7">
    <w:name w:val="heading 7"/>
    <w:basedOn w:val="Normal"/>
    <w:next w:val="Normal"/>
    <w:qFormat/>
    <w:pPr>
      <w:numPr>
        <w:ilvl w:val="6"/>
        <w:numId w:val="12"/>
      </w:numPr>
      <w:tabs>
        <w:tab w:val="clear" w:pos="0"/>
        <w:tab w:val="num" w:pos="360"/>
      </w:tabs>
      <w:spacing w:after="240"/>
      <w:ind w:firstLine="0"/>
      <w:jc w:val="both"/>
      <w:outlineLvl w:val="6"/>
    </w:pPr>
  </w:style>
  <w:style w:type="paragraph" w:styleId="Heading8">
    <w:name w:val="heading 8"/>
    <w:basedOn w:val="Normal"/>
    <w:next w:val="Normal"/>
    <w:qFormat/>
    <w:pPr>
      <w:numPr>
        <w:ilvl w:val="7"/>
        <w:numId w:val="12"/>
      </w:numPr>
      <w:tabs>
        <w:tab w:val="clear" w:pos="0"/>
        <w:tab w:val="num" w:pos="360"/>
      </w:tabs>
      <w:spacing w:after="240"/>
      <w:ind w:firstLine="0"/>
      <w:jc w:val="both"/>
      <w:outlineLvl w:val="7"/>
    </w:pPr>
  </w:style>
  <w:style w:type="paragraph" w:styleId="Heading9">
    <w:name w:val="heading 9"/>
    <w:basedOn w:val="Normal"/>
    <w:next w:val="Normal"/>
    <w:qFormat/>
    <w:pPr>
      <w:numPr>
        <w:ilvl w:val="8"/>
        <w:numId w:val="12"/>
      </w:numPr>
      <w:tabs>
        <w:tab w:val="clear" w:pos="0"/>
        <w:tab w:val="num" w:pos="360"/>
      </w:tabs>
      <w:spacing w:after="240"/>
      <w:ind w:left="0" w:firstLine="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pPr>
      <w:keepLines/>
      <w:tabs>
        <w:tab w:val="left" w:pos="4680"/>
        <w:tab w:val="left" w:pos="9360"/>
      </w:tabs>
      <w:spacing w:after="480"/>
      <w:ind w:left="3600"/>
    </w:pPr>
  </w:style>
  <w:style w:type="paragraph" w:customStyle="1" w:styleId="Addressee">
    <w:name w:val="Addressee"/>
    <w:basedOn w:val="Normal"/>
    <w:pPr>
      <w:tabs>
        <w:tab w:val="left" w:pos="1440"/>
      </w:tabs>
      <w:spacing w:after="240"/>
    </w:pPr>
  </w:style>
  <w:style w:type="paragraph" w:customStyle="1" w:styleId="Bod">
    <w:name w:val="Bod"/>
    <w:basedOn w:val="Normal"/>
    <w:pPr>
      <w:spacing w:after="240"/>
      <w:ind w:firstLine="1440"/>
      <w:jc w:val="both"/>
    </w:pPr>
  </w:style>
  <w:style w:type="paragraph" w:styleId="BodyText">
    <w:name w:val="Body Text"/>
    <w:basedOn w:val="Normal"/>
    <w:pPr>
      <w:spacing w:after="120"/>
      <w:ind w:firstLine="720"/>
      <w:jc w:val="both"/>
    </w:pPr>
  </w:style>
  <w:style w:type="paragraph" w:styleId="BodyText2">
    <w:name w:val="Body Text 2"/>
    <w:basedOn w:val="Normal"/>
    <w:pPr>
      <w:jc w:val="both"/>
    </w:pPr>
    <w:rPr>
      <w:sz w:val="20"/>
    </w:rPr>
  </w:style>
  <w:style w:type="paragraph" w:customStyle="1" w:styleId="bullet">
    <w:name w:val="bullet"/>
    <w:basedOn w:val="Normal"/>
    <w:pPr>
      <w:numPr>
        <w:numId w:val="2"/>
      </w:numPr>
      <w:spacing w:after="240"/>
      <w:jc w:val="both"/>
    </w:pPr>
  </w:style>
  <w:style w:type="paragraph" w:customStyle="1" w:styleId="bullet2">
    <w:name w:val="bullet2"/>
    <w:basedOn w:val="bullet"/>
    <w:pPr>
      <w:numPr>
        <w:numId w:val="3"/>
      </w:numPr>
    </w:pPr>
  </w:style>
  <w:style w:type="paragraph" w:customStyle="1" w:styleId="Center">
    <w:name w:val="Center"/>
    <w:basedOn w:val="Normal"/>
    <w:pPr>
      <w:spacing w:after="240"/>
      <w:jc w:val="center"/>
      <w:outlineLvl w:val="0"/>
    </w:pPr>
  </w:style>
  <w:style w:type="paragraph" w:customStyle="1" w:styleId="Company-1">
    <w:name w:val="Company-1"/>
    <w:basedOn w:val="Normal"/>
    <w:pPr>
      <w:keepLines/>
      <w:tabs>
        <w:tab w:val="left" w:pos="5310"/>
        <w:tab w:val="left" w:pos="9360"/>
      </w:tabs>
      <w:spacing w:after="480"/>
      <w:ind w:left="4680"/>
    </w:pPr>
  </w:style>
  <w:style w:type="paragraph" w:customStyle="1" w:styleId="Company-2">
    <w:name w:val="Company-2"/>
    <w:basedOn w:val="Normal"/>
    <w:pPr>
      <w:keepLines/>
      <w:tabs>
        <w:tab w:val="left" w:pos="630"/>
        <w:tab w:val="left" w:pos="4140"/>
        <w:tab w:val="left" w:pos="4680"/>
        <w:tab w:val="left" w:pos="5310"/>
        <w:tab w:val="left" w:pos="9270"/>
      </w:tabs>
      <w:spacing w:after="480"/>
    </w:pPr>
  </w:style>
  <w:style w:type="paragraph" w:styleId="Footer">
    <w:name w:val="footer"/>
    <w:basedOn w:val="Normal"/>
    <w:pPr>
      <w:tabs>
        <w:tab w:val="center" w:pos="4320"/>
        <w:tab w:val="right" w:pos="8640"/>
      </w:tabs>
    </w:pPr>
  </w:style>
  <w:style w:type="character" w:styleId="FootnoteReference">
    <w:name w:val="footnote reference"/>
    <w:semiHidden/>
    <w:rPr>
      <w:rFonts w:ascii="Times New Roman" w:hAnsi="Times New Roman" w:hint="default"/>
      <w:strike w:val="0"/>
      <w:noProof/>
      <w:color w:val="000000"/>
      <w:spacing w:val="0"/>
      <w:sz w:val="20"/>
      <w:vertAlign w:val="superscript"/>
    </w:rPr>
  </w:style>
  <w:style w:type="paragraph" w:styleId="FootnoteText">
    <w:name w:val="footnote text"/>
    <w:basedOn w:val="Normal"/>
    <w:semiHidden/>
    <w:pPr>
      <w:spacing w:before="120"/>
      <w:jc w:val="both"/>
    </w:pPr>
    <w:rPr>
      <w:sz w:val="20"/>
    </w:rPr>
  </w:style>
  <w:style w:type="paragraph" w:customStyle="1" w:styleId="Head">
    <w:name w:val="Head"/>
    <w:basedOn w:val="Normal"/>
    <w:next w:val="Bod"/>
    <w:pPr>
      <w:keepNext/>
      <w:tabs>
        <w:tab w:val="left" w:pos="0"/>
      </w:tabs>
      <w:spacing w:after="240"/>
    </w:pPr>
    <w:rPr>
      <w:rFonts w:ascii="Times New Roman Bold" w:hAnsi="Times New Roman Bold"/>
      <w:b/>
      <w:sz w:val="20"/>
    </w:rPr>
  </w:style>
  <w:style w:type="paragraph" w:customStyle="1" w:styleId="Head1">
    <w:name w:val="Head1"/>
    <w:basedOn w:val="Normal"/>
    <w:pPr>
      <w:keepNext/>
      <w:tabs>
        <w:tab w:val="left" w:pos="0"/>
      </w:tabs>
      <w:spacing w:after="240"/>
    </w:pPr>
    <w:rPr>
      <w:rFonts w:ascii="Times New Roman Bold" w:hAnsi="Times New Roman Bold"/>
      <w:b/>
    </w:rPr>
  </w:style>
  <w:style w:type="paragraph" w:customStyle="1" w:styleId="Head2">
    <w:name w:val="Head2"/>
    <w:basedOn w:val="Normal"/>
    <w:next w:val="Bod"/>
    <w:pPr>
      <w:keepNext/>
      <w:tabs>
        <w:tab w:val="left" w:pos="0"/>
      </w:tabs>
      <w:spacing w:after="240"/>
    </w:pPr>
    <w:rPr>
      <w:rFonts w:ascii="Times New Roman Bold" w:hAnsi="Times New Roman Bold"/>
      <w:b/>
      <w:sz w:val="20"/>
    </w:rPr>
  </w:style>
  <w:style w:type="paragraph" w:styleId="Header">
    <w:name w:val="header"/>
    <w:basedOn w:val="Normal"/>
    <w:pPr>
      <w:tabs>
        <w:tab w:val="center" w:pos="4320"/>
        <w:tab w:val="right" w:pos="8640"/>
      </w:tabs>
    </w:pPr>
  </w:style>
  <w:style w:type="paragraph" w:customStyle="1" w:styleId="Legend">
    <w:name w:val="Legend"/>
    <w:basedOn w:val="Normal"/>
    <w:pPr>
      <w:spacing w:after="240"/>
      <w:ind w:left="720" w:right="720"/>
      <w:jc w:val="both"/>
    </w:pPr>
  </w:style>
  <w:style w:type="paragraph" w:styleId="ListNumber">
    <w:name w:val="List Number"/>
    <w:basedOn w:val="Normal"/>
    <w:pPr>
      <w:numPr>
        <w:numId w:val="14"/>
      </w:numPr>
      <w:tabs>
        <w:tab w:val="clear" w:pos="0"/>
        <w:tab w:val="num" w:pos="360"/>
      </w:tabs>
      <w:spacing w:after="240"/>
      <w:ind w:firstLine="0"/>
      <w:jc w:val="both"/>
    </w:pPr>
  </w:style>
  <w:style w:type="paragraph" w:customStyle="1" w:styleId="MainTitle">
    <w:name w:val="MainTitle"/>
    <w:basedOn w:val="Normal"/>
    <w:next w:val="Normal"/>
    <w:pPr>
      <w:keepNext/>
      <w:spacing w:after="600"/>
      <w:jc w:val="center"/>
    </w:pPr>
    <w:rPr>
      <w:rFonts w:ascii="Times New Roman Bold" w:hAnsi="Times New Roman Bold"/>
      <w:b/>
      <w:caps/>
      <w:szCs w:val="24"/>
    </w:rPr>
  </w:style>
  <w:style w:type="paragraph" w:customStyle="1" w:styleId="Num">
    <w:name w:val="Num"/>
    <w:basedOn w:val="Normal"/>
    <w:pPr>
      <w:numPr>
        <w:numId w:val="15"/>
      </w:numPr>
      <w:spacing w:after="120"/>
      <w:ind w:left="0" w:firstLine="0"/>
      <w:jc w:val="both"/>
    </w:pPr>
    <w:rPr>
      <w:color w:val="000000"/>
      <w:sz w:val="20"/>
    </w:rPr>
  </w:style>
  <w:style w:type="character" w:styleId="PageNumber">
    <w:name w:val="page number"/>
    <w:rPr>
      <w:rFonts w:ascii="Times New Roman" w:hAnsi="Times New Roman" w:hint="default"/>
      <w:strike w:val="0"/>
      <w:noProof/>
      <w:color w:val="000000"/>
      <w:spacing w:val="0"/>
      <w:sz w:val="24"/>
    </w:rPr>
  </w:style>
  <w:style w:type="paragraph" w:customStyle="1" w:styleId="Plain">
    <w:name w:val="Plain"/>
    <w:basedOn w:val="Normal"/>
    <w:pPr>
      <w:spacing w:after="240"/>
      <w:jc w:val="both"/>
    </w:pPr>
  </w:style>
  <w:style w:type="paragraph" w:customStyle="1" w:styleId="Resolved">
    <w:name w:val="Resolved"/>
    <w:basedOn w:val="Normal"/>
    <w:pPr>
      <w:spacing w:after="240"/>
      <w:ind w:left="720" w:right="720" w:firstLine="720"/>
      <w:jc w:val="both"/>
    </w:pPr>
  </w:style>
  <w:style w:type="paragraph" w:customStyle="1" w:styleId="RESOLVED0">
    <w:name w:val="RESOLVED"/>
    <w:basedOn w:val="Normal"/>
    <w:pPr>
      <w:tabs>
        <w:tab w:val="left" w:pos="-720"/>
      </w:tabs>
      <w:spacing w:after="240"/>
      <w:ind w:left="1440" w:right="720" w:firstLine="720"/>
      <w:jc w:val="both"/>
    </w:pPr>
  </w:style>
  <w:style w:type="table" w:styleId="TableGrid">
    <w:name w:val="Table Grid"/>
    <w:basedOn w:val="TableNormal"/>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pPr>
      <w:keepNext/>
      <w:spacing w:after="480"/>
      <w:jc w:val="center"/>
    </w:pPr>
    <w:rPr>
      <w:b/>
    </w:rPr>
  </w:style>
  <w:style w:type="paragraph" w:customStyle="1" w:styleId="zDocID">
    <w:name w:val="zDocID"/>
    <w:pPr>
      <w:framePr w:w="10800" w:wrap="around" w:vAnchor="page" w:hAnchor="page" w:x="721" w:y="14833" w:anchorLock="1"/>
      <w:tabs>
        <w:tab w:val="right" w:pos="10800"/>
      </w:tabs>
    </w:pPr>
    <w:rPr>
      <w:noProof/>
      <w:sz w:val="16"/>
    </w:rPr>
  </w:style>
  <w:style w:type="character" w:customStyle="1" w:styleId="DocID">
    <w:name w:val="DocID"/>
    <w:rPr>
      <w:rFonts w:ascii="Times New Roman" w:hAnsi="Times New Roman" w:cs="Times New Roman" w:hint="default"/>
      <w:b w:val="0"/>
      <w:i w:val="0"/>
      <w:caps w:val="0"/>
      <w:strike w:val="0"/>
      <w:noProof/>
      <w:color w:val="auto"/>
      <w:spacing w:val="0"/>
      <w:sz w:val="16"/>
      <w:u w:val="none"/>
    </w:rPr>
  </w:style>
  <w:style w:type="paragraph" w:customStyle="1" w:styleId="Char">
    <w:name w:val="Char"/>
    <w:basedOn w:val="Normal"/>
    <w:pPr>
      <w:suppressAutoHyphens w:val="0"/>
      <w:spacing w:after="160" w:line="240" w:lineRule="exact"/>
    </w:pPr>
    <w:rPr>
      <w:rFonts w:ascii="Verdana" w:hAnsi="Verdana" w:cs="Verdana"/>
      <w:sz w:val="20"/>
    </w:rPr>
  </w:style>
  <w:style w:type="character" w:customStyle="1" w:styleId="zzmpTrailerItem">
    <w:name w:val="zzmpTrailerItem"/>
    <w:rPr>
      <w:rFonts w:ascii="Times New Roman" w:hAnsi="Times New Roman" w:cs="Times New Roman" w:hint="default"/>
      <w:strike w:val="0"/>
      <w:dstrike w:val="0"/>
      <w:noProof/>
      <w:color w:val="auto"/>
      <w:spacing w:val="0"/>
      <w:position w:val="0"/>
      <w:sz w:val="16"/>
      <w:szCs w:val="16"/>
      <w:u w:val="none"/>
      <w:effect w:val="none"/>
      <w:vertAlign w:val="baseline"/>
    </w:rPr>
  </w:style>
  <w:style w:type="paragraph" w:styleId="BalloonText">
    <w:name w:val="Balloon Text"/>
    <w:basedOn w:val="Normal"/>
    <w:link w:val="BalloonTextChar"/>
    <w:semiHidden/>
    <w:unhideWhenUsed/>
    <w:rsid w:val="00150D49"/>
    <w:rPr>
      <w:sz w:val="18"/>
      <w:szCs w:val="18"/>
    </w:rPr>
  </w:style>
  <w:style w:type="character" w:customStyle="1" w:styleId="BalloonTextChar">
    <w:name w:val="Balloon Text Char"/>
    <w:basedOn w:val="DefaultParagraphFont"/>
    <w:link w:val="BalloonText"/>
    <w:semiHidden/>
    <w:rsid w:val="00150D4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F16B4-11FC-A543-BAFA-BB2CDC943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4297</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5040</CharactersWithSpaces>
  <SharedDoc>false</SharedDoc>
  <HyperlinkBase>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2001-09-04T17:18:00Z</cp:lastPrinted>
  <dcterms:created xsi:type="dcterms:W3CDTF">2016-10-03T16:19:00Z</dcterms:created>
  <dcterms:modified xsi:type="dcterms:W3CDTF">2016-12-20T19:15:00Z</dcterms:modified>
</cp:coreProperties>
</file>